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4.png" ContentType="image/png"/>
  <Override PartName="/word/media/rId223.png" ContentType="image/png"/>
  <Override PartName="/word/media/rId224.png" ContentType="image/png"/>
  <Override PartName="/word/media/rId273.png" ContentType="image/png"/>
  <Override PartName="/word/media/rId115.png" ContentType="image/png"/>
  <Override PartName="/word/media/rId114.png" ContentType="image/png"/>
  <Override PartName="/word/media/rId116.png" ContentType="image/png"/>
  <Override PartName="/word/media/rId110.png" ContentType="image/png"/>
  <Override PartName="/word/media/rId121.png" ContentType="image/png"/>
  <Override PartName="/word/media/rId125.png" ContentType="image/png"/>
  <Override PartName="/word/media/rId221.png" ContentType="image/png"/>
  <Override PartName="/word/media/rId118.png" ContentType="image/png"/>
  <Override PartName="/word/media/rId119.png" ContentType="image/png"/>
  <Override PartName="/word/media/rId142.png" ContentType="image/png"/>
  <Override PartName="/word/media/rId253.png" ContentType="image/png"/>
  <Override PartName="/word/media/rId222.png" ContentType="image/png"/>
  <Override PartName="/word/media/rId233.png" ContentType="image/png"/>
  <Override PartName="/word/media/rId97.png" ContentType="image/png"/>
  <Override PartName="/word/media/rId81.png" ContentType="image/png"/>
  <Override PartName="/word/media/rId124.png" ContentType="image/png"/>
  <Override PartName="/word/media/rId257.png" ContentType="image/png"/>
  <Override PartName="/word/media/rId353.png" ContentType="image/png"/>
  <Override PartName="/word/media/rId354.png" ContentType="image/png"/>
  <Override PartName="/word/media/rId130.png" ContentType="image/png"/>
  <Override PartName="/word/media/rId298.png" ContentType="image/png"/>
  <Override PartName="/word/media/rId258.png" ContentType="image/png"/>
  <Override PartName="/word/media/rId259.png" ContentType="image/png"/>
  <Override PartName="/word/media/rId260.png" ContentType="image/png"/>
  <Override PartName="/word/media/rId196.png" ContentType="image/png"/>
  <Override PartName="/word/media/rId192.png" ContentType="image/png"/>
  <Override PartName="/word/media/rId220.png" ContentType="image/png"/>
  <Override PartName="/word/media/rId199.png" ContentType="image/png"/>
  <Override PartName="/word/media/rId269.png" ContentType="image/png"/>
  <Override PartName="/word/media/rId113.png" ContentType="image/png"/>
  <Override PartName="/word/media/rId147.png" ContentType="image/png"/>
  <Override PartName="/word/media/rId268.png" ContentType="image/png"/>
  <Override PartName="/word/media/rId318.png" ContentType="image/png"/>
  <Override PartName="/word/media/rId177.png" ContentType="image/png"/>
  <Override PartName="/word/media/rId290.png" ContentType="image/png"/>
  <Override PartName="/word/media/rId166.png" ContentType="image/png"/>
  <Override PartName="/word/media/rId278.png" ContentType="image/png"/>
  <Override PartName="/word/media/rId246.png" ContentType="image/png"/>
  <Override PartName="/word/media/rId293.png" ContentType="image/png"/>
  <Override PartName="/word/media/rId73.png" ContentType="image/png"/>
  <Override PartName="/word/media/rId404.png" ContentType="image/png"/>
  <Override PartName="/word/media/rId90.png" ContentType="image/png"/>
  <Override PartName="/word/media/rId214.png" ContentType="image/png"/>
  <Override PartName="/word/media/rId297.png" ContentType="image/png"/>
  <Override PartName="/word/media/rId43.png" ContentType="image/png"/>
  <Override PartName="/word/media/rId25.png" ContentType="image/png"/>
  <Override PartName="/word/media/rId383.png" ContentType="image/png"/>
  <Override PartName="/word/media/rId410.png" ContentType="image/png"/>
  <Override PartName="/word/media/rId169.png" ContentType="image/png"/>
  <Override PartName="/word/media/rId162.png" ContentType="image/png"/>
  <Override PartName="/word/media/rId306.png" ContentType="image/png"/>
  <Override PartName="/word/media/rId94.png" ContentType="image/png"/>
  <Override PartName="/word/media/rId287.png" ContentType="image/png"/>
  <Override PartName="/word/media/rId146.png" ContentType="image/png"/>
  <Override PartName="/word/media/rId396.png" ContentType="image/png"/>
  <Override PartName="/word/media/rId251.png" ContentType="image/png"/>
  <Override PartName="/word/media/rId78.png" ContentType="image/png"/>
  <Override PartName="/word/media/rId156.png" ContentType="image/png"/>
  <Override PartName="/word/media/rId242.png" ContentType="image/png"/>
  <Override PartName="/word/media/rId187.png" ContentType="image/png"/>
  <Override PartName="/word/media/rId60.png" ContentType="image/png"/>
  <Override PartName="/word/media/rId265.png" ContentType="image/png"/>
  <Override PartName="/word/media/rId29.png" ContentType="image/png"/>
  <Override PartName="/word/media/rId70.png" ContentType="image/png"/>
  <Override PartName="/word/media/rId415.png" ContentType="image/png"/>
  <Override PartName="/word/media/rId217.png" ContentType="image/png"/>
  <Override PartName="/word/media/rId302.png" ContentType="image/png"/>
  <Override PartName="/word/media/rId6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Conduct</w:t>
      </w:r>
      <w:r>
        <w:t xml:space="preserve"> </w:t>
      </w:r>
      <w:r>
        <w:t xml:space="preserve">Phase</w:t>
      </w:r>
      <w:r>
        <w:t xml:space="preserve"> </w:t>
      </w:r>
      <w:r>
        <w:t xml:space="preserve">-</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440680" cy="3400425"/>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four phases of OHI Assessments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When conducting an OHI+ assessment</w:t>
      </w:r>
      <w:r>
        <w:t xml:space="preserve">, 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rPr>
          <w:b/>
        </w:rPr>
        <w:t xml:space="preserve">How long does an assessment take?</w:t>
      </w:r>
      <w:r>
        <w:t xml:space="preserve"> </w:t>
      </w:r>
      <w:r>
        <w:t xml:space="preserve">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6" w:name="best-practices-for-ohi-assessments"/>
      <w:bookmarkEnd w:id="26"/>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 Information, publications, and websites for completed OHI+ assessments are listed on the projects page of ohi-science.org, and example approaches for each goal are listed in Appendix 1 of the manual.</w:t>
      </w:r>
    </w:p>
    <w:p>
      <w:r>
        <w:drawing>
          <wp:inline>
            <wp:extent cx="5440680" cy="3400425"/>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29"/>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0" w:name="incorporate-core-values-and-characteristics-into-the-ohi-assessment-framework-before-gathering-information"/>
      <w:bookmarkEnd w:id="30"/>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1" w:name="maintain-core-values-and-characteristics-within-the-assessment-framework-regardless-of-limited-information-quality"/>
      <w:bookmarkEnd w:id="31"/>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work with limited data, such as gap filling, incorporating indirect (proxy) or place-holder information, or using intermediate models.</w:t>
      </w:r>
    </w:p>
    <w:p>
      <w:r>
        <w:rPr>
          <w:b/>
        </w:rPr>
        <w:t xml:space="preserve">Remaining true to the conceptual framework by using those methods, hence developing less-than-ideal goal models, provides a fuller picture than redesigning it to only include characteristics where ideal information is available.</w:t>
      </w:r>
      <w:r>
        <w:t xml:space="preserve"> </w:t>
      </w:r>
      <w:r>
        <w:t xml:space="preserve">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2" w:name="strategically-define-spatial-boundaries-balance-information-availability-and-decision-making-scales"/>
      <w:bookmarkEnd w:id="32"/>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i/>
        </w:rPr>
        <w:t xml:space="preserve">Defining spatial boundaries</w:t>
      </w:r>
      <w:r>
        <w:t xml:space="preserve"> </w:t>
      </w:r>
      <w:r>
        <w:t xml:space="preserve">section for technical guidance).</w:t>
      </w:r>
      <w:r>
        <w:t xml:space="preserve"> </w:t>
      </w:r>
      <w:r>
        <w:rPr>
          <w:b/>
        </w:rPr>
        <w:t xml:space="preserve">Jurisdictional boundaries are optimal because it is often at these scales where management and policy decisions are made, cultural priorities and management targets are identified, and information is collected in standardized and therefore comparable ways</w:t>
      </w:r>
      <w:r>
        <w:t xml:space="preserve">.</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3" w:name="carefully-document-and-share-all-decisions-in-writing-and-computational-code"/>
      <w:bookmarkEnd w:id="33"/>
      <w:r>
        <w:t xml:space="preserve">Carefully document and share all decisions in writing and computational code</w:t>
      </w:r>
    </w:p>
    <w:p>
      <w:r>
        <w:t xml:space="preserve">Documentation of all aspects of an assessment process is paramount to ensuring transparency of the decisions made, reproducibility and interpretation of results, repeatability to facilitate and compare future assessments, and the ease of communication throughout the process.</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rPr>
          <w:b/>
        </w:rP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w:t>
      </w:r>
      <w:r>
        <w:t xml:space="preserve">.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4" w:name="the-toolbox-software-and-webapp"/>
      <w:bookmarkEnd w:id="34"/>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5" w:name="outcomes-of-conducting-an-assessment"/>
      <w:bookmarkEnd w:id="35"/>
      <w:r>
        <w:t xml:space="preserve">Outcomes of conducting an assessment</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BlockQuote"/>
      </w:pPr>
      <w:r>
        <w:t xml:space="preserve">While the OHI scores are valuable information,</w:t>
      </w:r>
      <w:r>
        <w:t xml:space="preserve"> </w:t>
      </w:r>
      <w:r>
        <w:rPr>
          <w:b/>
        </w:rPr>
        <w:t xml:space="preserve">the process of conducting an OHI assessment can be as valuable as the final results.</w:t>
      </w:r>
      <w:r>
        <w:t xml:space="preserve"> </w:t>
      </w:r>
      <w:r>
        <w:t xml:space="preserve">This is because during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pPr>
        <w:pStyle w:val="Heading1"/>
      </w:pPr>
      <w:bookmarkStart w:id="36" w:name="defining-spatial-boundaries"/>
      <w:bookmarkEnd w:id="36"/>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7" w:name="drawing-spatial-boundaries"/>
      <w:bookmarkEnd w:id="37"/>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8">
        <w:r>
          <w:rPr>
            <w:rStyle w:val="Link"/>
          </w:rPr>
          <w:t xml:space="preserve">https://en.wikipedia.org/wiki/Geographic_information_system</w:t>
        </w:r>
      </w:hyperlink>
      <w:r>
        <w:t xml:space="preserve"> </w:t>
      </w:r>
      <w:r>
        <w:t xml:space="preserve">and</w:t>
      </w:r>
      <w:r>
        <w:t xml:space="preserve"> </w:t>
      </w:r>
      <w:hyperlink r:id="rId39">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0">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3"/>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44" w:name="updating-the-map-in-your-webapp"/>
      <w:bookmarkEnd w:id="44"/>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5" w:name="buffers"/>
      <w:bookmarkEnd w:id="45"/>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6" w:name="discovering-and-gathering-input-information"/>
      <w:bookmarkEnd w:id="46"/>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7" w:name="thinking-creatively"/>
      <w:bookmarkEnd w:id="47"/>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8" w:name="data-sources"/>
      <w:bookmarkEnd w:id="48"/>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49" w:name="gathering-responsibilities"/>
      <w:bookmarkEnd w:id="49"/>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0" w:name="requirements-for-data-and-indicators"/>
      <w:bookmarkEnd w:id="50"/>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1" w:name="relevance-to-ocean-health"/>
      <w:bookmarkEnd w:id="51"/>
      <w:r>
        <w:t xml:space="preserve">Relevance to ocean health</w:t>
      </w:r>
    </w:p>
    <w:p>
      <w:r>
        <w:t xml:space="preserve">There must be a clear connection between the data and ocean health, and determining this will be closely linked to each goal model.</w:t>
      </w:r>
    </w:p>
    <w:p>
      <w:pPr>
        <w:pStyle w:val="Heading3"/>
      </w:pPr>
      <w:bookmarkStart w:id="52" w:name="accessibility"/>
      <w:bookmarkEnd w:id="52"/>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3" w:name="quality"/>
      <w:bookmarkEnd w:id="53"/>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4" w:name="reference-point"/>
      <w:bookmarkEnd w:id="54"/>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5" w:name="appropriate-spatial-scale"/>
      <w:bookmarkEnd w:id="55"/>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6" w:name="appropriate-temporal-scale"/>
      <w:bookmarkEnd w:id="56"/>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7" w:name="the-process-of-information-discovery"/>
      <w:bookmarkEnd w:id="57"/>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61" w:name="example-u.s.-west-coast-data-discovery"/>
      <w:bookmarkEnd w:id="61"/>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w:t>
      </w:r>
      <w:r>
        <w:t xml:space="preserve"> </w:t>
      </w:r>
      <w:r>
        <w:rPr>
          <w:b/>
        </w:rPr>
        <w:t xml:space="preserve">Some common reasons for excluding data</w:t>
      </w:r>
      <w:r>
        <w:t xml:space="preserve"> </w:t>
      </w:r>
      <w:r>
        <w:t xml:space="preserve">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2" w:name="the-ocean-health-index-toolbox"/>
      <w:bookmarkEnd w:id="62"/>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1360170"/>
            <wp:effectExtent b="0" l="0" r="0" t="0"/>
            <wp:docPr descr="" id="1" name="Picture"/>
            <a:graphic>
              <a:graphicData uri="http://schemas.openxmlformats.org/drawingml/2006/picture">
                <pic:pic>
                  <pic:nvPicPr>
                    <pic:cNvPr descr="https://docs.google.com/drawings/d/1sXHn8zi_-XZkPDOGO1RrmhVGZcOEAHEpTfDGXYmUut8/pub?w=768&amp;h=192" id="0" name="Picture"/>
                    <pic:cNvPicPr>
                      <a:picLocks noChangeArrowheads="1" noChangeAspect="1"/>
                    </pic:cNvPicPr>
                  </pic:nvPicPr>
                  <pic:blipFill>
                    <a:blip r:embed="rId65"/>
                    <a:stretch>
                      <a:fillRect/>
                    </a:stretch>
                  </pic:blipFill>
                  <pic:spPr bwMode="auto">
                    <a:xfrm>
                      <a:off x="0" y="0"/>
                      <a:ext cx="5440680" cy="136017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tailored 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6" w:name="file-system-organization"/>
      <w:bookmarkEnd w:id="66"/>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7" w:name="assessment-repositories"/>
      <w:bookmarkEnd w:id="67"/>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3"/>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4" w:name="scenario-folders"/>
      <w:bookmarkEnd w:id="74"/>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5" w:name="subcountry2014-contents"/>
      <w:bookmarkEnd w:id="75"/>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78"/>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79" w:name="calculate_scores.r"/>
      <w:bookmarkEnd w:id="79"/>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0" w:name="conf-folder"/>
      <w:bookmarkEnd w:id="8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1"/>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2" w:name="config.r"/>
      <w:bookmarkEnd w:id="82"/>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3" w:name="install_ohicore.r"/>
      <w:bookmarkEnd w:id="83"/>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4" w:name="functions.r"/>
      <w:bookmarkEnd w:id="84"/>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5" w:name="goals.csv"/>
      <w:bookmarkEnd w:id="85"/>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6" w:name="launch_app_code.r"/>
      <w:bookmarkEnd w:id="86"/>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7" w:name="layers-folder"/>
      <w:bookmarkEnd w:id="8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0"/>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1" w:name="gl2014-and-_sc2014-suffixes"/>
      <w:bookmarkEnd w:id="91"/>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4"/>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5" w:name="layers-empty_swapping-global-mean.csv"/>
      <w:bookmarkEnd w:id="95"/>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6" w:name="layers.csv"/>
      <w:bookmarkEnd w:id="96"/>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7"/>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98" w:name="prep-folder"/>
      <w:bookmarkEnd w:id="98"/>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99" w:name="pressures_matrix.csv"/>
      <w:bookmarkEnd w:id="99"/>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0" w:name="reports-folder"/>
      <w:bookmarkEnd w:id="100"/>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1" w:name="resilience_matrix.csv"/>
      <w:bookmarkEnd w:id="101"/>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2" w:name="resilience_weights.csv"/>
      <w:bookmarkEnd w:id="102"/>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3" w:name="scores.csv"/>
      <w:bookmarkEnd w:id="103"/>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4" w:name="session.txt"/>
      <w:bookmarkEnd w:id="104"/>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5" w:name="spatial-folder"/>
      <w:bookmarkEnd w:id="105"/>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6" w:name="temp-or-tmp-folders"/>
      <w:bookmarkEnd w:id="106"/>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7" w:name="formatting-data-for-the-toolbox"/>
      <w:bookmarkEnd w:id="107"/>
      <w:r>
        <w:t xml:space="preserve">Formatting Data for the Toolbox</w:t>
      </w:r>
    </w:p>
    <w:p>
      <w:pPr>
        <w:pStyle w:val="Heading3"/>
      </w:pPr>
      <w:bookmarkStart w:id="108" w:name="introduction-1"/>
      <w:bookmarkEnd w:id="10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09" w:name="uploading-and-formatting-raw-data-files"/>
      <w:bookmarkEnd w:id="109"/>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0"/>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1" w:name="gapfilling"/>
      <w:bookmarkEnd w:id="111"/>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2" w:name="temporal-gapfilling"/>
      <w:bookmarkEnd w:id="112"/>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3"/>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4"/>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7" w:name="spatial-gapfilling"/>
      <w:bookmarkEnd w:id="117"/>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8"/>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9"/>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0" w:name="long-formatting"/>
      <w:bookmarkEnd w:id="120"/>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1"/>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2">
        <w:r>
          <w:rPr>
            <w:rStyle w:val="Link"/>
          </w:rPr>
          <w:t xml:space="preserve">http://blog.rstudio.org/2014/07/22/introducing-tidyr/</w:t>
        </w:r>
      </w:hyperlink>
    </w:p>
    <w:p>
      <w:pPr>
        <w:pStyle w:val="Compact"/>
        <w:numPr>
          <w:numId w:val="1013"/>
          <w:ilvl w:val="0"/>
        </w:numPr>
      </w:pPr>
      <w:hyperlink r:id="rId123">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6" w:name="rescaling-your-data"/>
      <w:bookmarkEnd w:id="126"/>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7" w:name="example-global-data-approach"/>
      <w:bookmarkEnd w:id="127"/>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28" w:name="installing-the-toolbox"/>
      <w:bookmarkEnd w:id="128"/>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29" w:name="overview"/>
      <w:bookmarkEnd w:id="129"/>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w:t>
      </w:r>
    </w:p>
    <w:p>
      <w:pPr>
        <w:pStyle w:val="Compact"/>
        <w:numPr>
          <w:numId w:val="1014"/>
          <w:ilvl w:val="0"/>
        </w:numPr>
      </w:pPr>
      <w:r>
        <w:rPr>
          <w:b/>
        </w:rPr>
        <w:t xml:space="preserve">GitHub</w:t>
      </w:r>
    </w:p>
    <w:p>
      <w:pPr>
        <w:pStyle w:val="Compact"/>
        <w:numPr>
          <w:numId w:val="1014"/>
          <w:ilvl w:val="0"/>
        </w:numPr>
      </w:pPr>
      <w:r>
        <w:rPr>
          <w:b/>
        </w:rPr>
        <w:t xml:space="preserve">git</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1" w:name="github"/>
      <w:bookmarkEnd w:id="131"/>
      <w:r>
        <w:t xml:space="preserve">GitHub</w:t>
      </w:r>
    </w:p>
    <w:p>
      <w:r>
        <w:rPr>
          <w:b/>
        </w:rPr>
        <w:t xml:space="preserve">GitHub</w:t>
      </w:r>
      <w:r>
        <w:t xml:space="preserve">, together with the version control system</w:t>
      </w:r>
      <w:r>
        <w:t xml:space="preserve"> </w:t>
      </w:r>
      <w:r>
        <w:rPr>
          <w:b/>
        </w:rPr>
        <w:t xml:space="preserve">git</w:t>
      </w:r>
      <w:r>
        <w:t xml:space="preserve">, 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2" w:name="learning-github"/>
      <w:bookmarkEnd w:id="13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3">
        <w:r>
          <w:rPr>
            <w:b/>
            <w:rStyle w:val="Link"/>
          </w:rPr>
          <w:t xml:space="preserve">Git and GitHub</w:t>
        </w:r>
      </w:hyperlink>
      <w:r>
        <w:t xml:space="preserve"> </w:t>
      </w:r>
      <w:r>
        <w:t xml:space="preserve">by Hadley Wickham: r-pkgs.had.co.nz/git.html</w:t>
      </w:r>
    </w:p>
    <w:p>
      <w:pPr>
        <w:pStyle w:val="Compact"/>
        <w:numPr>
          <w:numId w:val="1016"/>
          <w:ilvl w:val="0"/>
        </w:numPr>
      </w:pPr>
      <w:hyperlink r:id="rId13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5">
        <w:r>
          <w:rPr>
            <w:b/>
            <w:rStyle w:val="Link"/>
          </w:rPr>
          <w:t xml:space="preserve">Good Resources for Learning Git and GitHub</w:t>
        </w:r>
      </w:hyperlink>
      <w:r>
        <w:t xml:space="preserve"> </w:t>
      </w:r>
      <w:r>
        <w:t xml:space="preserve">by GitHub: help.github.com/articles/good-resources-for-learning-git-and-github/</w:t>
      </w:r>
    </w:p>
    <w:p>
      <w:pPr>
        <w:pStyle w:val="Heading2"/>
      </w:pPr>
      <w:bookmarkStart w:id="136" w:name="accessing-github-repositories"/>
      <w:bookmarkEnd w:id="136"/>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7" w:name="create-a-github-account"/>
      <w:bookmarkEnd w:id="137"/>
      <w:r>
        <w:t xml:space="preserve">Create a GitHub account</w:t>
      </w:r>
    </w:p>
    <w:p>
      <w:r>
        <w:t xml:space="preserve">Create a GitHub account at</w:t>
      </w:r>
      <w:r>
        <w:t xml:space="preserve"> </w:t>
      </w:r>
      <w:hyperlink r:id="rId13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39" w:name="install-git-software"/>
      <w:bookmarkEnd w:id="13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2"/>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440680" cy="362712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6"/>
                    <a:stretch>
                      <a:fillRect/>
                    </a:stretch>
                  </pic:blipFill>
                  <pic:spPr bwMode="auto">
                    <a:xfrm>
                      <a:off x="0" y="0"/>
                      <a:ext cx="5440680" cy="362712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48" w:name="set-up-your-git-identity"/>
      <w:bookmarkEnd w:id="148"/>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49">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0" w:name="create-a-folder-called-github-on-your-computer"/>
      <w:bookmarkEnd w:id="15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1" w:name="update-permissions"/>
      <w:bookmarkEnd w:id="151"/>
      <w:r>
        <w:t xml:space="preserve">Update permissions</w:t>
      </w:r>
    </w:p>
    <w:p>
      <w:r>
        <w:t xml:space="preserve">You need to **email your username to</w:t>
      </w:r>
      <w:r>
        <w:t xml:space="preserve"> </w:t>
      </w:r>
      <w:hyperlink r:id="rId15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3" w:name="work-locally-with-r-and-rstudio"/>
      <w:bookmarkEnd w:id="153"/>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440680" cy="3400425"/>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6"/>
                    <a:stretch>
                      <a:fillRect/>
                    </a:stretch>
                  </pic:blipFill>
                  <pic:spPr bwMode="auto">
                    <a:xfrm>
                      <a:off x="0" y="0"/>
                      <a:ext cx="5440680" cy="3400425"/>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7">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58">
        <w:hyperlink r:id="rId158">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59" w:name="cloning-a-repository-to-your-local-computer"/>
      <w:bookmarkEnd w:id="159"/>
      <w:r>
        <w:t xml:space="preserve">Cloning a repository to your local computer</w:t>
      </w:r>
    </w:p>
    <w:p>
      <w:r>
        <w:t xml:space="preserve">In order to sync GitHub and RStudio, you need to clone your GitHub repository to RStudio. Here is a step-by-step guide on how to do so:</w:t>
      </w:r>
    </w:p>
    <w:p>
      <w:r>
        <w:drawing>
          <wp:inline>
            <wp:extent cx="5440680" cy="1450848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2"/>
                    <a:stretch>
                      <a:fillRect/>
                    </a:stretch>
                  </pic:blipFill>
                  <pic:spPr bwMode="auto">
                    <a:xfrm>
                      <a:off x="0" y="0"/>
                      <a:ext cx="5440680" cy="1450848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3" w:name="syncing-your-repository-with-rstudio"/>
      <w:bookmarkEnd w:id="163"/>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69"/>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0" w:name="github-repository-architecture"/>
      <w:bookmarkEnd w:id="17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1">
        <w:r>
          <w:rPr>
            <w:rStyle w:val="Link"/>
          </w:rPr>
          <w:t xml:space="preserve">Shiny</w:t>
        </w:r>
      </w:hyperlink>
      <w:r>
        <w:t xml:space="preserve"> </w:t>
      </w:r>
      <w:r>
        <w:t xml:space="preserve">R package and are deployed online via</w:t>
      </w:r>
      <w:r>
        <w:t xml:space="preserve"> </w:t>
      </w:r>
      <w:hyperlink r:id="rId17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3" w:name="using-the-toolbox"/>
      <w:bookmarkEnd w:id="17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4" w:name="layer-preparation-workflow"/>
      <w:bookmarkEnd w:id="174"/>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7"/>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78" w:name="modifying-and-creating-data-layers"/>
      <w:bookmarkEnd w:id="17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1"/>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2" w:name="create-data-layers-with-proper-formatting"/>
      <w:bookmarkEnd w:id="18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3" w:name="save-data-layers-in-the-layers-folder"/>
      <w:bookmarkEnd w:id="18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4" w:name="register-data-layers-in-layers.csv"/>
      <w:bookmarkEnd w:id="18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7"/>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88" w:name="check-pressures-and-resilience-matrices"/>
      <w:bookmarkEnd w:id="18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89" w:name="modifying-pressures-matrices"/>
      <w:bookmarkEnd w:id="189"/>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0" w:name="create-the-new-pressure-layers-and-save-in-the-layers-folder"/>
      <w:bookmarkEnd w:id="19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1" w:name="register-the-new-pressure-layers-in-layers.csv"/>
      <w:bookmarkEnd w:id="19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3" w:name="register-the-new-layers-in-pressure_matrix.csv"/>
      <w:bookmarkEnd w:id="19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4" w:name="set-the-pressure-category"/>
      <w:bookmarkEnd w:id="19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5" w:name="identify-the-goals-affected-and-set-the-weighting"/>
      <w:bookmarkEnd w:id="19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7" w:name="modify-the-resilience-matrix-if-necessary"/>
      <w:bookmarkEnd w:id="19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198" w:name="modifying-resilience-matrices"/>
      <w:bookmarkEnd w:id="19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9"/>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00" w:name="updating-resilience-matrix-with-local-habitat-information"/>
      <w:bookmarkEnd w:id="20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1" w:name="global-resilience-layers"/>
      <w:bookmarkEnd w:id="20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2" w:name="determining-how-to-modify-these-resilience-layers"/>
      <w:bookmarkEnd w:id="202"/>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3" w:name="modify-goal-models"/>
      <w:bookmarkEnd w:id="203"/>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4" w:name="setup"/>
      <w:bookmarkEnd w:id="204"/>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5" w:name="model-modification"/>
      <w:bookmarkEnd w:id="205"/>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6" w:name="load-data"/>
      <w:bookmarkEnd w:id="206"/>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7">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08" w:name="status-calculation"/>
      <w:bookmarkEnd w:id="208"/>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09" w:name="trend-calculation"/>
      <w:bookmarkEnd w:id="209"/>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0" w:name="combine-status-and-trend-scores"/>
      <w:bookmarkEnd w:id="210"/>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1" w:name="update-goal-call-in-goals.csv"/>
      <w:bookmarkEnd w:id="211"/>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4"/>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7"/>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18" w:name="calculate-overall-ohi-index-scores"/>
      <w:bookmarkEnd w:id="218"/>
      <w:r>
        <w:t xml:space="preserve">Calculate overall OHI Index Scores</w:t>
      </w:r>
    </w:p>
    <w:p>
      <w:pPr>
        <w:pStyle w:val="Heading2"/>
      </w:pPr>
      <w:bookmarkStart w:id="219" w:name="removing-goals"/>
      <w:bookmarkEnd w:id="21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0"/>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5" w:name="modifying-the-pressures-matrix-for-goals-with-categories"/>
      <w:bookmarkEnd w:id="225"/>
      <w:r>
        <w:t xml:space="preserve">Modifying the pressures matrix for goals with categories</w:t>
      </w:r>
    </w:p>
    <w:p>
      <w:pPr>
        <w:pStyle w:val="Heading3"/>
      </w:pPr>
      <w:bookmarkStart w:id="226" w:name="background"/>
      <w:bookmarkEnd w:id="226"/>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7" w:name="example-1-pressures"/>
      <w:bookmarkEnd w:id="227"/>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8" w:name="example-2-resilience"/>
      <w:bookmarkEnd w:id="228"/>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29" w:name="other-example-modifications"/>
      <w:bookmarkEnd w:id="229"/>
      <w:r>
        <w:t xml:space="preserve">Other example modifications</w:t>
      </w:r>
    </w:p>
    <w:p>
      <w:pPr>
        <w:pStyle w:val="Heading3"/>
      </w:pPr>
      <w:bookmarkStart w:id="230" w:name="preparing-the-fisheries-sub-goal"/>
      <w:bookmarkEnd w:id="230"/>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1" w:name="description-of-data-layers"/>
      <w:bookmarkEnd w:id="231"/>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2" w:name="running-cmsy-model"/>
      <w:bookmarkEnd w:id="232"/>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3"/>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4" w:name="resources"/>
      <w:bookmarkEnd w:id="23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6">
        <w:r>
          <w:rPr>
            <w:rStyle w:val="Link"/>
          </w:rPr>
          <w:t xml:space="preserve">Downloadable here</w:t>
        </w:r>
      </w:hyperlink>
    </w:p>
    <w:p>
      <w:pPr>
        <w:pStyle w:val="Heading1"/>
      </w:pPr>
      <w:bookmarkStart w:id="237" w:name="toolbox-troubleshooting"/>
      <w:bookmarkEnd w:id="23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38" w:name="general-software-errors"/>
      <w:bookmarkEnd w:id="238"/>
      <w:r>
        <w:t xml:space="preserve">General Software Errors</w:t>
      </w:r>
    </w:p>
    <w:p>
      <w:pPr>
        <w:pStyle w:val="Heading3"/>
      </w:pPr>
      <w:bookmarkStart w:id="239" w:name="rpostback-askpass-error"/>
      <w:bookmarkEnd w:id="23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2"/>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6"/>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7">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48">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1"/>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2" w:name="git-not-detected-on-system-path"/>
      <w:bookmarkEnd w:id="252"/>
      <w:r>
        <w:t xml:space="preserve">Git not detected on system path</w:t>
      </w:r>
    </w:p>
    <w:p>
      <w:r>
        <w:t xml:space="preserve">After downloading and installing git, sometimes RStudio is unable to locate git and will show the following error:</w:t>
      </w:r>
    </w:p>
    <w:p>
      <w:r>
        <w:drawing>
          <wp:inline>
            <wp:extent cx="5440680" cy="4072617"/>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3"/>
                    <a:stretch>
                      <a:fillRect/>
                    </a:stretch>
                  </pic:blipFill>
                  <pic:spPr bwMode="auto">
                    <a:xfrm>
                      <a:off x="0" y="0"/>
                      <a:ext cx="5440680" cy="4072617"/>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440680" cy="5016597"/>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4"/>
                    <a:stretch>
                      <a:fillRect/>
                    </a:stretch>
                  </pic:blipFill>
                  <pic:spPr bwMode="auto">
                    <a:xfrm>
                      <a:off x="0" y="0"/>
                      <a:ext cx="5440680" cy="5016597"/>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5">
        <w:r>
          <w:rPr>
            <w:rStyle w:val="Link"/>
          </w:rPr>
          <w:t xml:space="preserve">here</w:t>
        </w:r>
      </w:hyperlink>
      <w:r>
        <w:t xml:space="preserve">.</w:t>
      </w:r>
    </w:p>
    <w:p>
      <w:pPr>
        <w:pStyle w:val="Heading3"/>
      </w:pPr>
      <w:bookmarkStart w:id="256" w:name="loading-rworkspace-on-restart"/>
      <w:bookmarkEnd w:id="25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7"/>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5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5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0"/>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61" w:name="errors-when-using-the-toolbox"/>
      <w:bookmarkEnd w:id="261"/>
      <w:r>
        <w:t xml:space="preserve">Errors when Using the Toolbox</w:t>
      </w:r>
    </w:p>
    <w:p>
      <w:pPr>
        <w:pStyle w:val="Heading3"/>
      </w:pPr>
      <w:bookmarkStart w:id="262" w:name="useful-errors-when-calculating-scores"/>
      <w:bookmarkEnd w:id="26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5"/>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266" w:name="calculating-pressures..."/>
      <w:bookmarkEnd w:id="266"/>
      <w:r>
        <w:t xml:space="preserve">Calculating Pressures...</w:t>
      </w:r>
    </w:p>
    <w:p>
      <w:pPr>
        <w:pStyle w:val="Heading4"/>
      </w:pPr>
      <w:bookmarkStart w:id="267" w:name="the-following-components-for-goal-are-not-in-the-aggregation-layer-layer..."/>
      <w:bookmarkEnd w:id="26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6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0" w:name="error-in-matrix..."/>
      <w:bookmarkEnd w:id="270"/>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1" w:name="calculating-resilience-..."/>
      <w:bookmarkEnd w:id="271"/>
      <w:r>
        <w:t xml:space="preserve">Calculating Resilience ...</w:t>
      </w:r>
    </w:p>
    <w:p>
      <w:pPr>
        <w:pStyle w:val="Heading4"/>
      </w:pPr>
      <w:bookmarkStart w:id="272" w:name="error-in-matchx-table-nomatch-ol-object-id_num-not-found"/>
      <w:bookmarkEnd w:id="272"/>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3"/>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4" w:name="overview-of-the-ohi-webapp"/>
      <w:bookmarkEnd w:id="274"/>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7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79" w:name="defining-and-displaying-regions"/>
      <w:bookmarkEnd w:id="27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0">
        <w:r>
          <w:rPr>
            <w:rStyle w:val="Link"/>
          </w:rPr>
          <w:t xml:space="preserve">http://www.marineregions.org</w:t>
        </w:r>
      </w:hyperlink>
      <w:r>
        <w:t xml:space="preserve">), and subcountry regions were identified by the Global Administrative Regions database (</w:t>
      </w:r>
      <w:hyperlink r:id="rId281">
        <w:r>
          <w:rPr>
            <w:rStyle w:val="Link"/>
          </w:rPr>
          <w:t xml:space="preserve">http://gadm.org</w:t>
        </w:r>
      </w:hyperlink>
      <w:r>
        <w:t xml:space="preserve">).</w:t>
      </w:r>
    </w:p>
    <w:p>
      <w:pPr>
        <w:pStyle w:val="Heading2"/>
      </w:pPr>
      <w:bookmarkStart w:id="282" w:name="exploring-inputs-and-outputs-with-the-webapps-app-page"/>
      <w:bookmarkEnd w:id="28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3" w:name="the-apps-data-tab"/>
      <w:bookmarkEnd w:id="283"/>
      <w:r>
        <w:t xml:space="preserve">The App's Data tab</w:t>
      </w:r>
    </w:p>
    <w:p>
      <w:pPr>
        <w:pStyle w:val="Heading4"/>
      </w:pPr>
      <w:bookmarkStart w:id="284" w:name="overview-of-display-options"/>
      <w:bookmarkEnd w:id="28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4" w:name="overview-of-variable-options"/>
      <w:bookmarkEnd w:id="29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29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299" w:name="the-apps-compare-tab"/>
      <w:bookmarkEnd w:id="29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3" w:name="updating-the-webapps-pages"/>
      <w:bookmarkEnd w:id="303"/>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6"/>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307" w:name="regions"/>
      <w:bookmarkEnd w:id="307"/>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08" w:name="layers"/>
      <w:bookmarkEnd w:id="308"/>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09" w:name="goals"/>
      <w:bookmarkEnd w:id="309"/>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0">
        <w:r>
          <w:rPr>
            <w:rStyle w:val="Link"/>
          </w:rPr>
          <w:t xml:space="preserve">https://en.wikibooks.org/wiki/LaTeX/Mathematics</w:t>
        </w:r>
      </w:hyperlink>
      <w:r>
        <w:t xml:space="preserve">. Learn more about .Rmd formatting at</w:t>
      </w:r>
      <w:r>
        <w:t xml:space="preserve"> </w:t>
      </w:r>
      <w:hyperlink r:id="rId311">
        <w:r>
          <w:rPr>
            <w:rStyle w:val="Link"/>
          </w:rPr>
          <w:t xml:space="preserve">http://shiny.rstudio.com/articles/rmarkdown.html</w:t>
        </w:r>
      </w:hyperlink>
      <w:r>
        <w:t xml:space="preserve">.</w:t>
      </w:r>
    </w:p>
    <w:p>
      <w:pPr>
        <w:pStyle w:val="Heading3"/>
      </w:pPr>
      <w:bookmarkStart w:id="312" w:name="scores"/>
      <w:bookmarkEnd w:id="312"/>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3" w:name="appendix-1-developing-goal-models-and-setting-reference-points"/>
      <w:bookmarkEnd w:id="313"/>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4" w:name="developing-multiple-goal-models-at-the-same-time"/>
      <w:bookmarkEnd w:id="314"/>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5" w:name="keeping-reference-points-in-mind"/>
      <w:bookmarkEnd w:id="315"/>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18"/>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19" w:name="identifying-pressures-and-resilience"/>
      <w:bookmarkEnd w:id="319"/>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0" w:name="artisanal-fishing-opportunities"/>
      <w:bookmarkEnd w:id="320"/>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1" w:name="biodiversity"/>
      <w:bookmarkEnd w:id="321"/>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2" w:name="sub-goal-species"/>
      <w:bookmarkEnd w:id="322"/>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3">
        <w:r>
          <w:rPr>
            <w:rStyle w:val="Link"/>
          </w:rPr>
          <w:t xml:space="preserve">(IUCN)</w:t>
        </w:r>
      </w:hyperlink>
      <w:r>
        <w:t xml:space="preserve"> </w:t>
      </w:r>
      <w:r>
        <w:t xml:space="preserve">(www.iucnredlist.org/technical-documents/spatial-data) and</w:t>
      </w:r>
      <w:r>
        <w:t xml:space="preserve"> </w:t>
      </w:r>
      <w:hyperlink r:id="rId324">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5" w:name="sub-goal-habitats"/>
      <w:bookmarkEnd w:id="325"/>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6">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7" w:name="coastal-protection"/>
      <w:bookmarkEnd w:id="327"/>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28">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29" w:name="carbon-storage"/>
      <w:bookmarkEnd w:id="329"/>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0" w:name="clean-waters"/>
      <w:bookmarkEnd w:id="330"/>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1" w:name="food-provision"/>
      <w:bookmarkEnd w:id="331"/>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2" w:name="fisheries-sub-goal"/>
      <w:bookmarkEnd w:id="332"/>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3">
        <w:r>
          <w:rPr>
            <w:rStyle w:val="Link"/>
          </w:rPr>
          <w:t xml:space="preserve">Sea Around Us Project</w:t>
        </w:r>
      </w:hyperlink>
      <w:r>
        <w:t xml:space="preserve"> </w:t>
      </w:r>
      <w:r>
        <w:t xml:space="preserve">(seaaroundus.org) and Global fisheries landings over time from</w:t>
      </w:r>
      <w:r>
        <w:t xml:space="preserve"> </w:t>
      </w:r>
      <w:hyperlink r:id="rId334">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5"/>
      </w:pPr>
      <w:bookmarkStart w:id="335" w:name="a-note-about-methods-used-in-the-fisheries-goal"/>
      <w:bookmarkEnd w:id="335"/>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6" w:name="calculating-the-fisheries-goal"/>
      <w:bookmarkEnd w:id="336"/>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7" w:name="examples-of-the-approach"/>
      <w:bookmarkEnd w:id="337"/>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 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 | The approach had to be modified by working with fisheries scientists to adapt the data that were available at the global scale.</w:t>
      </w:r>
      <w:r>
        <w:t xml:space="preserve"> </w:t>
      </w:r>
      <w:r>
        <w:rPr>
          <w:b/>
        </w:rPr>
        <w:t xml:space="preserve">Global 2013</w:t>
      </w:r>
      <w:r>
        <w:t xml:space="preserve"> </w:t>
      </w:r>
      <w:r>
        <w:t xml:space="preserve">| 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 | The reference point was similar to Global 2012 where regions were penalized for under-harvest and more severely for over-harvest. | 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r>
        <w:t xml:space="preserve"> </w:t>
      </w:r>
      <w:r>
        <w:rPr>
          <w:b/>
        </w:rPr>
        <w:t xml:space="preserve">Brazil (2014)</w:t>
      </w:r>
      <w:r>
        <w:t xml:space="preserve"> </w:t>
      </w:r>
      <w:r>
        <w:t xml:space="preserve">| The status was calculated in the same manner as Global 2012, with a modified sustainability term. | As in Global 2012, the reference point is based on an estimate mMSY. | This was calculated in the same manner as Global 2012 using local-scale data on exploitation category of species caught within Brazil’s EEZ as a catch-based sustainability index.</w:t>
      </w:r>
      <w:r>
        <w:t xml:space="preserve"> </w:t>
      </w:r>
      <w:r>
        <w:rPr>
          <w:b/>
        </w:rPr>
        <w:t xml:space="preserve">U.S. West Coast (2014)</w:t>
      </w:r>
      <w:r>
        <w:t xml:space="preserve"> </w:t>
      </w:r>
      <w:r>
        <w:t xml:space="preserve">| 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 | The reference point was a functional relationship that accounted for fishing pressure. The approach produced lower scores for species where both under-fishing and overfishing are occurring, but did not punish as much for under-fishing of stocks. | 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r>
        <w:t xml:space="preserve"> </w:t>
      </w:r>
    </w:p>
    <w:p>
      <w:pPr>
        <w:pStyle w:val="Heading4"/>
      </w:pPr>
      <w:bookmarkStart w:id="338" w:name="mariculture-sub-goal"/>
      <w:bookmarkEnd w:id="338"/>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39" w:name="examples-of-the-approach-1"/>
      <w:bookmarkEnd w:id="339"/>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Mariculture was calculated as the yield reported multiplied by the sustainability for each species harvested. Yield was drawn from UN FAO reports, and sustainability was based on information from a Mariculture Sustainability Index (MSI) by Trujillo (2008). | The reference point for mariculture was a spatial comparison set at highest amount of seafood produced per square kilometer of eligible coastline in the most productive region observed, China. | Restricting the area based on biophysical constraints and social preferences at a global scale was not possible, and so the entire area within 3nm of the coastline was considered potential habitat.</w:t>
      </w:r>
      <w:r>
        <w:t xml:space="preserve"> </w:t>
      </w:r>
      <w:r>
        <w:rPr>
          <w:b/>
        </w:rPr>
        <w:t xml:space="preserve">Global 2013</w:t>
      </w:r>
      <w:r>
        <w:t xml:space="preserve"> </w:t>
      </w:r>
      <w:r>
        <w:t xml:space="preserve">| This study used a model similar to the Global 2012. | The reference point approach was harvested tonnes per coastal inhabitant scaled to the 95th percentile observed, Thailand. Here coastal was defined as "within 25 km inland." This was done under the assumption that production depends on the presence of coastal communities. | This study differs from Global 2012 because of the reference point. |</w:t>
      </w:r>
      <w:r>
        <w:t xml:space="preserve"> </w:t>
      </w:r>
      <w:r>
        <w:rPr>
          <w:b/>
        </w:rPr>
        <w:t xml:space="preserve">Brazil (2014)</w:t>
      </w:r>
      <w:r>
        <w:t xml:space="preserve"> </w:t>
      </w:r>
      <w:r>
        <w:t xml:space="preserve">| 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 | Reference points were set for each species. | In this study it was possible to use both biophysical constraints and social preferences.</w:t>
      </w:r>
      <w:r>
        <w:t xml:space="preserve"> </w:t>
      </w:r>
      <w:r>
        <w:rPr>
          <w:b/>
        </w:rPr>
        <w:t xml:space="preserve">U.S. West Coast (2014)</w:t>
      </w:r>
      <w:r>
        <w:t xml:space="preserve"> </w:t>
      </w:r>
      <w:r>
        <w:t xml:space="preserve">| The status was calculated as the sustainable production density of shellfish biomass from mariculture relative to a target level of production density for each state within the region. | The reference point was a target level of production increase as proposed by NOAA | The approach was similar to the Global but the reference point was made using better information about physical and social limitations on mariculture allotments.</w:t>
      </w:r>
      <w:r>
        <w:t xml:space="preserve"> </w:t>
      </w:r>
      <w:r>
        <w:rPr>
          <w:b/>
        </w:rPr>
        <w:t xml:space="preserve">China (2015)</w:t>
      </w:r>
      <w:r>
        <w:t xml:space="preserve"> </w:t>
      </w:r>
      <w:r>
        <w:t xml:space="preserve">| Status model is similar to the 2012 global assessment. But the status model was based on tonnes of mariculture species per habitat identified as suitable area by the Chinese government.| The spatial reference point was the region with the highest value. | 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r>
        <w:t xml:space="preserve"> </w:t>
      </w:r>
    </w:p>
    <w:p>
      <w:pPr>
        <w:pStyle w:val="Heading3"/>
      </w:pPr>
      <w:bookmarkStart w:id="340" w:name="livelihoods-and-economies"/>
      <w:bookmarkEnd w:id="340"/>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1" w:name="sub-goal-livelihoods"/>
      <w:bookmarkEnd w:id="341"/>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2" w:name="sub-goal-economies"/>
      <w:bookmarkEnd w:id="342"/>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3" w:name="natural-products"/>
      <w:bookmarkEnd w:id="343"/>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4" w:name="tourism-and-recreation"/>
      <w:bookmarkEnd w:id="344"/>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5" w:name="sense-of-place"/>
      <w:bookmarkEnd w:id="345"/>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6" w:name="sub-goal-iconic-species"/>
      <w:bookmarkEnd w:id="346"/>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r>
        <w:t xml:space="preserve"> </w:t>
      </w:r>
    </w:p>
    <w:p>
      <w:pPr>
        <w:pStyle w:val="Heading4"/>
      </w:pPr>
      <w:bookmarkStart w:id="347" w:name="sub-goal-lasting-special-places"/>
      <w:bookmarkEnd w:id="347"/>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48">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by combining the percent of coastal waters that are coastal marine protected areas and the percent of coastline that is protected. | The reference point is 30% protection for both land and sea areas.| It was assumed that it is possible to protect up to 30% of areas.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r>
        <w:t xml:space="preserve"> </w:t>
      </w:r>
      <w:r>
        <w:rPr>
          <w:b/>
        </w:rPr>
        <w:t xml:space="preserve">U.S. West Coast (2014)</w:t>
      </w:r>
      <w:r>
        <w:t xml:space="preserve"> </w:t>
      </w:r>
      <w:r>
        <w:t xml:space="preserve">| The model was the same as Global 2012. | The reference point was the same as Global 2012. | The study used assumptions to define 'special.'</w:t>
      </w:r>
      <w:r>
        <w:t xml:space="preserve"> </w:t>
      </w:r>
      <w:r>
        <w:rPr>
          <w:b/>
        </w:rPr>
        <w:t xml:space="preserve">China (2015)</w:t>
      </w:r>
      <w:r>
        <w:t xml:space="preserve"> </w:t>
      </w:r>
      <w:r>
        <w:t xml:space="preserve">|Status model is similar to global assessments | The reference point is only 5% protection, a target set by national marine protection policies to achieve by 2020.| Only coastal marine protected areas was considered, since protected coastline information is not available.</w:t>
      </w:r>
      <w:r>
        <w:t xml:space="preserve"> </w:t>
      </w:r>
    </w:p>
    <w:p>
      <w:pPr>
        <w:pStyle w:val="Heading2"/>
      </w:pPr>
      <w:bookmarkStart w:id="349" w:name="pressures-and-resilience"/>
      <w:bookmarkEnd w:id="34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0" w:name="ideal-approach"/>
      <w:bookmarkEnd w:id="35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1" w:name="pressure-and-resilience-categories"/>
      <w:bookmarkEnd w:id="351"/>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2" w:name="pressures-and-resilience-matrices"/>
      <w:bookmarkEnd w:id="35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3"/>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4"/>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5" w:name="incorporating-local-pressures-in-your-assessment"/>
      <w:bookmarkEnd w:id="35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6" w:name="including-pressures-from-global-assessments"/>
      <w:bookmarkEnd w:id="35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58" w:name="guide-to-searching-for-pressure-data"/>
      <w:bookmarkEnd w:id="358"/>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59" w:name="guide-to-searching-for-resilience-metrics"/>
      <w:bookmarkEnd w:id="359"/>
      <w:r>
        <w:t xml:space="preserve">Guide to searching for resilience metrics</w:t>
      </w:r>
    </w:p>
    <w:p>
      <w:pPr>
        <w:pStyle w:val="Heading3"/>
      </w:pPr>
      <w:bookmarkStart w:id="360" w:name="ideal-approach-1"/>
      <w:bookmarkEnd w:id="36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1" w:name="practical-considerations"/>
      <w:bookmarkEnd w:id="36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3" w:name="scoring-turning-qualitative-into-quantitative"/>
      <w:bookmarkEnd w:id="36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4" w:name="data-sources-1"/>
      <w:bookmarkEnd w:id="36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5" w:name="incorporating-local-resilience-measures-in-your-assessment"/>
      <w:bookmarkEnd w:id="365"/>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6" w:name="including-resilience-measures-from-global-assessments"/>
      <w:bookmarkEnd w:id="36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7" w:name="appendix-2-instructions-for-preparing-data-files-for-the-ohi-toolbox"/>
      <w:bookmarkEnd w:id="36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8" w:name="description-document-for-each-goal"/>
      <w:bookmarkEnd w:id="36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69" w:name="a.-.csv-files-for-each-data-layer"/>
      <w:bookmarkEnd w:id="36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0" w:name="contents-of-data-layers"/>
      <w:bookmarkEnd w:id="37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1">
        <w:r>
          <w:rPr>
            <w:rStyle w:val="Link"/>
          </w:rPr>
          <w:t xml:space="preserve">al_access_gl2014.csv'</w:t>
        </w:r>
      </w:hyperlink>
      <w:r>
        <w:t xml:space="preserve">, and an example of a three-column file is</w:t>
      </w:r>
      <w:r>
        <w:t xml:space="preserve"> </w:t>
      </w:r>
      <w:hyperlink r:id="rId37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2">
        <w:r>
          <w:rPr>
            <w:rStyle w:val="Link"/>
          </w:rPr>
          <w:t xml:space="preserve">rgn_labels.csv</w:t>
        </w:r>
      </w:hyperlink>
      <w:r>
        <w:t xml:space="preserve">.</w:t>
      </w:r>
    </w:p>
    <w:p>
      <w:pPr>
        <w:pStyle w:val="Heading3"/>
      </w:pPr>
      <w:bookmarkStart w:id="374" w:name="naming-data-layers"/>
      <w:bookmarkEnd w:id="37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5" w:name="b.-description-files-to-accompany-each-data-layer"/>
      <w:bookmarkEnd w:id="37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6" w:name="pressures-and-resilience-1"/>
      <w:bookmarkEnd w:id="37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7" w:name="pressures"/>
      <w:bookmarkEnd w:id="377"/>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8" w:name="resilience"/>
      <w:bookmarkEnd w:id="37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79" w:name="appendix-3-instructions-for-preparing-model-descriptions"/>
      <w:bookmarkEnd w:id="379"/>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0" w:name="appendix-4-develop-a-record-keeping-spreadsheet"/>
      <w:bookmarkEnd w:id="380"/>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440680" cy="408051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4" w:name="appendix-5-r-tutorials-for-ohi"/>
      <w:bookmarkEnd w:id="384"/>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5" w:name="r-very-basics"/>
      <w:bookmarkEnd w:id="385"/>
      <w:r>
        <w:t xml:space="preserve">R Very Basics:</w:t>
      </w:r>
    </w:p>
    <w:p>
      <w:pPr>
        <w:pStyle w:val="Compact"/>
        <w:numPr>
          <w:numId w:val="1102"/>
          <w:ilvl w:val="0"/>
        </w:numPr>
      </w:pPr>
      <w:r>
        <w:t xml:space="preserve">Have you already downloaded and installed</w:t>
      </w:r>
      <w:r>
        <w:t xml:space="preserve"> </w:t>
      </w:r>
      <w:hyperlink r:id="rId386">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7">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8">
        <w:r>
          <w:rPr>
            <w:rStyle w:val="Link"/>
          </w:rPr>
          <w:t xml:space="preserve">swirl</w:t>
        </w:r>
      </w:hyperlink>
      <w:r>
        <w:t xml:space="preserve">?</w:t>
      </w:r>
    </w:p>
    <w:p>
      <w:pPr>
        <w:pStyle w:val="Heading3"/>
      </w:pPr>
      <w:bookmarkStart w:id="389" w:name="tidyr-functions"/>
      <w:bookmarkEnd w:id="389"/>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0">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2">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0">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1">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2">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3" w:name="tidyrgather"/>
      <w:bookmarkEnd w:id="393"/>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6"/>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7" w:name="dplyr-functions"/>
      <w:bookmarkEnd w:id="397"/>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8">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8">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7">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399">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0" w:name="operator"/>
      <w:bookmarkEnd w:id="400"/>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399">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1" w:name="dplyrselect"/>
      <w:bookmarkEnd w:id="401"/>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4"/>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405" w:name="dplyrfilter"/>
      <w:bookmarkEnd w:id="405"/>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6" w:name="dplyrarrange"/>
      <w:bookmarkEnd w:id="406"/>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7" w:name="dplyrmutate"/>
      <w:bookmarkEnd w:id="407"/>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0"/>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1" w:name="dplyrsummarize-or-summarise"/>
      <w:bookmarkEnd w:id="411"/>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2" w:name="dplyrgroup_by"/>
      <w:bookmarkEnd w:id="412"/>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5"/>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6" w:name="coding-style"/>
      <w:bookmarkEnd w:id="416"/>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7">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8" w:name="best-practices-for-coding-in-ohi-assessments"/>
      <w:bookmarkEnd w:id="418"/>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19" w:name="writing-functions"/>
      <w:bookmarkEnd w:id="419"/>
      <w:r>
        <w:t xml:space="preserve">Writing functions</w:t>
      </w:r>
    </w:p>
    <w:p>
      <w:hyperlink r:id="rId420">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1" w:name="directories-and-files"/>
      <w:bookmarkEnd w:id="421"/>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2" w:name="appendix-6-frequently-asked-questions-faqs"/>
      <w:bookmarkEnd w:id="422"/>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4" w:name="overall"/>
      <w:bookmarkEnd w:id="424"/>
      <w:r>
        <w:t xml:space="preserve">Overall</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8" w:name="reference-points"/>
      <w:bookmarkEnd w:id="42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9" w:name="appropriate-data-layers"/>
      <w:bookmarkEnd w:id="42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0" w:name="food-provision-1"/>
      <w:bookmarkEnd w:id="43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1" w:name="livelihoods-economies"/>
      <w:bookmarkEnd w:id="43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2" w:name="tourism-recreation"/>
      <w:bookmarkEnd w:id="43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3" w:name="natural-products-1"/>
      <w:bookmarkEnd w:id="43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4" w:name="species"/>
      <w:bookmarkEnd w:id="43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5" w:name="sense-of-place-1"/>
      <w:bookmarkEnd w:id="43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6" w:name="pressures-1"/>
      <w:bookmarkEnd w:id="43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2908d3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fde0d2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97d57b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7617967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9e44868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8e814488"/>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0be90a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e397fb5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a79ae9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4b7c5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e71082a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40817d8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276be980"/>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e88eacdf"/>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eb79225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bd310bd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4" Target="media/rId25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73" Target="media/rId27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221" Target="media/rId22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253" Target="media/rId253.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257" Target="media/rId257.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130" Target="media/rId130.png" /><Relationship Type="http://schemas.openxmlformats.org/officeDocument/2006/relationships/image" Id="rId298" Target="media/rId298.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20" Target="media/rId220.png" /><Relationship Type="http://schemas.openxmlformats.org/officeDocument/2006/relationships/image" Id="rId199" Target="media/rId199.png" /><Relationship Type="http://schemas.openxmlformats.org/officeDocument/2006/relationships/image" Id="rId269" Target="media/rId269.png" /><Relationship Type="http://schemas.openxmlformats.org/officeDocument/2006/relationships/image" Id="rId113" Target="media/rId113.png" /><Relationship Type="http://schemas.openxmlformats.org/officeDocument/2006/relationships/image" Id="rId147" Target="media/rId147.png" /><Relationship Type="http://schemas.openxmlformats.org/officeDocument/2006/relationships/image" Id="rId268" Target="media/rId268.png" /><Relationship Type="http://schemas.openxmlformats.org/officeDocument/2006/relationships/image" Id="rId318" Target="media/rId318.png" /><Relationship Type="http://schemas.openxmlformats.org/officeDocument/2006/relationships/image" Id="rId177" Target="media/rId177.png" /><Relationship Type="http://schemas.openxmlformats.org/officeDocument/2006/relationships/image" Id="rId290" Target="media/rId290.png" /><Relationship Type="http://schemas.openxmlformats.org/officeDocument/2006/relationships/image" Id="rId166" Target="media/rId166.png" /><Relationship Type="http://schemas.openxmlformats.org/officeDocument/2006/relationships/image" Id="rId278" Target="media/rId278.png" /><Relationship Type="http://schemas.openxmlformats.org/officeDocument/2006/relationships/image" Id="rId246" Target="media/rId246.png" /><Relationship Type="http://schemas.openxmlformats.org/officeDocument/2006/relationships/image" Id="rId293" Target="media/rId293.png" /><Relationship Type="http://schemas.openxmlformats.org/officeDocument/2006/relationships/image" Id="rId73" Target="media/rId73.png" /><Relationship Type="http://schemas.openxmlformats.org/officeDocument/2006/relationships/image" Id="rId404" Target="media/rId404.png" /><Relationship Type="http://schemas.openxmlformats.org/officeDocument/2006/relationships/image" Id="rId90" Target="media/rId90.png" /><Relationship Type="http://schemas.openxmlformats.org/officeDocument/2006/relationships/image" Id="rId214" Target="media/rId214.png" /><Relationship Type="http://schemas.openxmlformats.org/officeDocument/2006/relationships/image" Id="rId297" Target="media/rId297.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383" Target="media/rId383.png" /><Relationship Type="http://schemas.openxmlformats.org/officeDocument/2006/relationships/image" Id="rId410" Target="media/rId410.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306" Target="media/rId306.png" /><Relationship Type="http://schemas.openxmlformats.org/officeDocument/2006/relationships/image" Id="rId94" Target="media/rId94.png" /><Relationship Type="http://schemas.openxmlformats.org/officeDocument/2006/relationships/image" Id="rId287" Target="media/rId287.png" /><Relationship Type="http://schemas.openxmlformats.org/officeDocument/2006/relationships/image" Id="rId146" Target="media/rId146.png" /><Relationship Type="http://schemas.openxmlformats.org/officeDocument/2006/relationships/image" Id="rId396" Target="media/rId396.png" /><Relationship Type="http://schemas.openxmlformats.org/officeDocument/2006/relationships/image" Id="rId251" Target="media/rId251.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242" Target="media/rId242.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265" Target="media/rId265.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15" Target="media/rId415.png" /><Relationship Type="http://schemas.openxmlformats.org/officeDocument/2006/relationships/image" Id="rId217" Target="media/rId217.png" /><Relationship Type="http://schemas.openxmlformats.org/officeDocument/2006/relationships/image" Id="rId302" Target="media/rId302.png" /><Relationship Type="http://schemas.openxmlformats.org/officeDocument/2006/relationships/image" Id="rId65" Target="media/rId65.png" /><Relationship Type="http://schemas.openxmlformats.org/officeDocument/2006/relationships/image" Id="rId181" Target="media/rId181.png" /><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Conduct Phase - Assessment Manual</dc:title>
  <dc:creator/>
</cp:coreProperties>
</file>